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56"/>
        <w:gridCol w:w="448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Esta emenda à despesa visa redistribuir recursos para a aquisição de carro maca avançado, aspirador de secreções elétrico, eletrocardiógrafo, laringoscópio infantil, laringoscópio adulto e banqueta pela Associação Hospital de Caridade de Três Passos, uma vez que os aparelhos existentes são insuficientes para o atendimento da demanda de exames solicitados pelos pacientes, servindo para diagnóstico de doenças do aparelho digestivo para possibilitar o tratamento precoce.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 investimento total foi orçado em R$ 60.324,00 (sessenta mil trezentos e vinte quatro reais), desse modo,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6f37e3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6f37e3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6f37e3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6f37e3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LibreOffice/6.1.0.3$Windows_X86_64 LibreOffice_project/efb621ed25068d70781dc026f7e9c5187a4decd1</Application>
  <Pages>2</Pages>
  <Words>295</Words>
  <Characters>1757</Characters>
  <CharactersWithSpaces>2003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2021-12-08T11:15:00Z</dcterms:created>
  <dc:creator>Legislativo01</dc:creator>
  <dc:description/>
  <dc:language>pt-BR</dc:language>
  <cp:lastModifiedBy>Meus Documentos</cp:lastModifiedBy>
  <cp:lastPrinted>2021-12-08T19:13:00Z</cp:lastPrinted>
  <dcterms:modified xsi:type="dcterms:W3CDTF">2021-12-08T19:13:00Z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